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586DFD2" w:rsidR="007128D3" w:rsidRPr="007A0155" w:rsidRDefault="007128D3" w:rsidP="00E17281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17281">
        <w:rPr>
          <w:rFonts w:cs="Arial"/>
          <w:b/>
          <w:szCs w:val="22"/>
        </w:rPr>
        <w:t>Zajištění správy budov Kydlinovská a Haškova, Hradec Králové (2023-2025)</w:t>
      </w:r>
    </w:p>
    <w:p w14:paraId="33661A81" w14:textId="2A6D969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17281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9C4B16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17281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28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14</cp:revision>
  <cp:lastPrinted>2022-02-09T07:14:00Z</cp:lastPrinted>
  <dcterms:created xsi:type="dcterms:W3CDTF">2022-02-20T09:23:00Z</dcterms:created>
  <dcterms:modified xsi:type="dcterms:W3CDTF">2023-03-13T08:33:00Z</dcterms:modified>
</cp:coreProperties>
</file>